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bCs/>
          <w:sz w:val="30"/>
          <w:szCs w:val="30"/>
        </w:rPr>
        <w:t xml:space="preserve">DATA PROCESSING AGREEMENT (DPA)</w:t>
      </w:r>
    </w:p>
    <w:p>
      <w:pPr>
        <w:spacing w:after="120"/>
        <w:jc w:val="center"/>
      </w:pPr>
      <w:r>
        <w:rPr>
          <w:b w:val="false"/>
          <w:bCs w:val="false"/>
        </w:rPr>
        <w:t xml:space="preserve">pursuant to Article 28 of the EU General Data Protection Regulation (GDPR)</w:t>
      </w:r>
    </w:p>
    <w:p>
      <w:r>
        <w:t xml:space="preserve"/>
      </w:r>
    </w:p>
    <w:p>
      <w:pPr>
        <w:spacing w:after="120"/>
      </w:pPr>
      <w:r>
        <w:t xml:space="preserve">This Data Processing Agreement ("DPA") is entered into between:</w:t>
      </w:r>
    </w:p>
    <w:p>
      <w:pPr>
        <w:spacing w:after="120"/>
      </w:pPr>
      <w:r>
        <w:rPr>
          <w:b/>
          <w:bCs/>
        </w:rPr>
        <w:t xml:space="preserve">The Controller: </w:t>
      </w:r>
      <w:r>
        <w:t xml:space="preserve">________________________________ ("the Controller", i.e. the client), and</w:t>
      </w:r>
    </w:p>
    <w:p>
      <w:pPr>
        <w:spacing w:after="120"/>
      </w:pPr>
      <w:r>
        <w:rPr>
          <w:b/>
          <w:bCs/>
        </w:rPr>
        <w:t xml:space="preserve">The Processor: </w:t>
      </w:r>
      <w:r>
        <w:t xml:space="preserve">ECD – Estée Creative Direction, trading as Miravela AI, 14 rue du Mail, 75002 Paris, France, SIREN 951 471 689 ("the Processor").</w:t>
      </w:r>
    </w:p>
    <w:p>
      <w:pPr>
        <w:spacing w:after="120"/>
      </w:pPr>
      <w:r>
        <w:t xml:space="preserve">This DPA forms an integral part of the service agreement between the parties (the "Principal Agreement"). Where this DPA conflicts with the Principal Agreement on data protection, this DPA prevails.</w:t>
      </w:r>
    </w:p>
    <w:p>
      <w:pPr>
        <w:pStyle w:val="Heading2"/>
      </w:pPr>
      <w:r>
        <w:t xml:space="preserve">1. Definitions</w:t>
      </w:r>
    </w:p>
    <w:p>
      <w:pPr>
        <w:spacing w:after="120"/>
      </w:pPr>
      <w:r>
        <w:t xml:space="preserve">"GDPR", "personal data", "processing", "controller", "processor", "sub-processor", "data subject" and "personal data breach" have the meanings given in the GDPR. The Controller determines the purposes and means of the processing; the Processor processes personal data on the Controller’s behalf.</w:t>
      </w:r>
    </w:p>
    <w:p>
      <w:pPr>
        <w:pStyle w:val="Heading2"/>
      </w:pPr>
      <w:r>
        <w:t xml:space="preserve">2. Subject matter, duration, nature and purpose</w:t>
      </w:r>
    </w:p>
    <w:p>
      <w:pPr>
        <w:spacing w:after="120"/>
      </w:pPr>
      <w:r>
        <w:t xml:space="preserve">The subject matter, duration, nature and purpose of the processing, the types of personal data and the categories of data subjects are described in Annex 1.</w:t>
      </w:r>
    </w:p>
    <w:p>
      <w:pPr>
        <w:pStyle w:val="Heading2"/>
      </w:pPr>
      <w:r>
        <w:t xml:space="preserve">3. Obligations of the Processor</w:t>
      </w:r>
    </w:p>
    <w:p>
      <w:pPr>
        <w:spacing w:after="120"/>
      </w:pPr>
      <w:r>
        <w:t xml:space="preserve">3.1 Process the personal data only on the documented instructions of the Controller, including for transfers, unless required to do otherwise by EU or Member State law (in which case the Processor informs the Controller, unless prohibited by law).</w:t>
      </w:r>
    </w:p>
    <w:p>
      <w:pPr>
        <w:spacing w:after="120"/>
      </w:pPr>
      <w:r>
        <w:t xml:space="preserve">3.2 Ensure that persons authorised to process the personal data are bound by an appropriate obligation of confidentiality.</w:t>
      </w:r>
    </w:p>
    <w:p>
      <w:pPr>
        <w:spacing w:after="120"/>
      </w:pPr>
      <w:r>
        <w:t xml:space="preserve">3.3 Implement the technical and organisational measures set out in Annex 2 to ensure a level of security appropriate to the risk (Article 32).</w:t>
      </w:r>
    </w:p>
    <w:p>
      <w:pPr>
        <w:spacing w:after="120"/>
      </w:pPr>
      <w:r>
        <w:t xml:space="preserve">3.4 Sub-processors: the Controller gives general written authorisation to engage the sub-processors listed in Annex 3. The Processor informs the Controller of any intended addition or replacement of a sub-processor with at least thirty (30) days’ notice, giving the Controller the opportunity to object. Each sub-processor is bound by data protection obligations equivalent to those in this DPA.</w:t>
      </w:r>
    </w:p>
    <w:p>
      <w:pPr>
        <w:spacing w:after="120"/>
      </w:pPr>
      <w:r>
        <w:t xml:space="preserve">3.5 Taking into account the nature of the processing, assist the Controller by appropriate measures to respond to requests to exercise data subject rights.</w:t>
      </w:r>
    </w:p>
    <w:p>
      <w:pPr>
        <w:spacing w:after="120"/>
      </w:pPr>
      <w:r>
        <w:t xml:space="preserve">3.6 Assist the Controller in ensuring compliance with the obligations relating to security (Article 32), personal data breach notification (Articles 33–34), and data protection impact assessments (Articles 35–36).</w:t>
      </w:r>
    </w:p>
    <w:p>
      <w:pPr>
        <w:spacing w:after="120"/>
      </w:pPr>
      <w:r>
        <w:t xml:space="preserve">3.7 Notify the Controller without undue delay, and in any event within forty-eight (48) hours, after becoming aware of a personal data breach, providing the information required under Article 33(3).</w:t>
      </w:r>
    </w:p>
    <w:p>
      <w:pPr>
        <w:spacing w:after="120"/>
      </w:pPr>
      <w:r>
        <w:t xml:space="preserve">3.8 At the choice of the Controller, delete or return all personal data at the end of the provision of services, and delete existing copies unless EU or Member State law requires storage.</w:t>
      </w:r>
    </w:p>
    <w:p>
      <w:pPr>
        <w:spacing w:after="120"/>
      </w:pPr>
      <w:r>
        <w:t xml:space="preserve">3.9 Make available to the Controller all information necessary to demonstrate compliance with Article 28 and allow for and contribute to audits, including inspections, conducted by the Controller or an auditor mandated by it (on reasonable prior notice, no more than once per year unless a breach occurs).</w:t>
      </w:r>
    </w:p>
    <w:p>
      <w:pPr>
        <w:pStyle w:val="Heading2"/>
      </w:pPr>
      <w:r>
        <w:t xml:space="preserve">4. International transfers</w:t>
      </w:r>
    </w:p>
    <w:p>
      <w:pPr>
        <w:spacing w:after="120"/>
      </w:pPr>
      <w:r>
        <w:t xml:space="preserve">Where a sub-processor is located outside the European Economic Area, transfers are governed by the European Commission’s Standard Contractual Clauses (SCCs) or another safeguard permitted under Chapter V of the GDPR. The Controller’s personal data is hosted within the European Union (Paris region).</w:t>
      </w:r>
    </w:p>
    <w:p>
      <w:pPr>
        <w:pStyle w:val="Heading2"/>
      </w:pPr>
      <w:r>
        <w:t xml:space="preserve">5. Liability and governing law</w:t>
      </w:r>
    </w:p>
    <w:p>
      <w:pPr>
        <w:spacing w:after="120"/>
      </w:pPr>
      <w:r>
        <w:t xml:space="preserve">Liability is governed by the Principal Agreement. This DPA is governed by French law, and the courts of Paris have jurisdiction, subject to any mandatory provisions of the GDPR.</w:t>
      </w:r>
    </w:p>
    <w:p>
      <w:pPr>
        <w:pStyle w:val="Heading2"/>
      </w:pPr>
      <w:r>
        <w:t xml:space="preserve">6. Term</w:t>
      </w:r>
    </w:p>
    <w:p>
      <w:pPr>
        <w:spacing w:after="120"/>
      </w:pPr>
      <w:r>
        <w:t xml:space="preserve">This DPA takes effect on the date of last signature and remains in force for as long as the Processor processes personal data on behalf of the Controller.</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tcMar>
              <w:top w:type="dxa" w:w="200"/>
              <w:left w:type="dxa" w:w="120"/>
              <w:bottom w:type="dxa" w:w="200"/>
              <w:right w:type="dxa" w:w="120"/>
            </w:tcMar>
          </w:tcPr>
          <w:p>
            <w:r>
              <w:rPr>
                <w:b/>
                <w:bCs/>
              </w:rPr>
              <w:t xml:space="preserve">For the Controller</w:t>
            </w:r>
          </w:p>
          <w:p>
            <w:r>
              <w:t xml:space="preserve"/>
            </w:r>
          </w:p>
          <w:p>
            <w:pPr>
              <w:spacing w:after="120"/>
            </w:pPr>
            <w:r>
              <w:t xml:space="preserve">Name: ____________________</w:t>
            </w:r>
          </w:p>
          <w:p>
            <w:pPr>
              <w:spacing w:after="120"/>
            </w:pPr>
            <w:r>
              <w:t xml:space="preserve">Title: ____________________</w:t>
            </w:r>
          </w:p>
          <w:p>
            <w:pPr>
              <w:spacing w:after="120"/>
            </w:pPr>
            <w:r>
              <w:t xml:space="preserve">Date: ____________________</w:t>
            </w:r>
          </w:p>
          <w:p>
            <w:pPr>
              <w:spacing w:after="120"/>
            </w:pPr>
            <w:r>
              <w:t xml:space="preserve">Signature:</w:t>
            </w:r>
          </w:p>
        </w:tc>
        <w:tc>
          <w:tcPr>
            <w:tcW w:type="dxa" w:w="4680"/>
            <w:tcBorders>
              <w:top w:val="single" w:color="CCCCCC" w:sz="1"/>
              <w:left w:val="single" w:color="CCCCCC" w:sz="1"/>
              <w:bottom w:val="single" w:color="CCCCCC" w:sz="1"/>
              <w:right w:val="single" w:color="CCCCCC" w:sz="1"/>
            </w:tcBorders>
            <w:tcMar>
              <w:top w:type="dxa" w:w="200"/>
              <w:left w:type="dxa" w:w="120"/>
              <w:bottom w:type="dxa" w:w="200"/>
              <w:right w:type="dxa" w:w="120"/>
            </w:tcMar>
          </w:tcPr>
          <w:p>
            <w:r>
              <w:rPr>
                <w:b/>
                <w:bCs/>
              </w:rPr>
              <w:t xml:space="preserve">For the Processor (Miravela AI)</w:t>
            </w:r>
          </w:p>
          <w:p>
            <w:r>
              <w:t xml:space="preserve"/>
            </w:r>
          </w:p>
          <w:p>
            <w:pPr>
              <w:spacing w:after="120"/>
            </w:pPr>
            <w:r>
              <w:t xml:space="preserve">Name: Estée Jaillon</w:t>
            </w:r>
          </w:p>
          <w:p>
            <w:pPr>
              <w:spacing w:after="120"/>
            </w:pPr>
            <w:r>
              <w:t xml:space="preserve">Title: President &amp; operator</w:t>
            </w:r>
          </w:p>
          <w:p>
            <w:pPr>
              <w:spacing w:after="120"/>
            </w:pPr>
            <w:r>
              <w:t xml:space="preserve">Date: ____________________</w:t>
            </w:r>
          </w:p>
          <w:p>
            <w:pPr>
              <w:spacing w:after="120"/>
            </w:pPr>
            <w:r>
              <w:t xml:space="preserve">Signature:</w:t>
            </w:r>
          </w:p>
        </w:tc>
      </w:tr>
    </w:tbl>
    <w:p>
      <w:pPr>
        <w:pStyle w:val="Heading1"/>
        <w:pageBreakBefore/>
      </w:pPr>
      <w:r>
        <w:t xml:space="preserve">Annex 1 — Details of the processing</w:t>
      </w:r>
    </w:p>
    <w:p>
      <w:pPr>
        <w:spacing w:after="120"/>
      </w:pPr>
      <w:r>
        <w:rPr>
          <w:b/>
          <w:bCs/>
        </w:rPr>
        <w:t xml:space="preserve">Categories of data subjects: </w:t>
      </w:r>
      <w:r>
        <w:t xml:space="preserve">individuals depicted in reference materials or generated content provided or commissioned by the Controller (e.g. models, talent); the Controller’s staff and authorised users of the service.</w:t>
      </w:r>
    </w:p>
    <w:p>
      <w:pPr>
        <w:spacing w:after="120"/>
      </w:pPr>
      <w:r>
        <w:rPr>
          <w:b/>
          <w:bCs/>
        </w:rPr>
        <w:t xml:space="preserve">Categories of personal data: </w:t>
      </w:r>
      <w:r>
        <w:t xml:space="preserve">photographs and images (which may include faces, likeness and physical characteristics); names and professional contact details; project briefs and instructions; comments and approvals; account credentials and usage logs.</w:t>
      </w:r>
    </w:p>
    <w:p>
      <w:pPr>
        <w:spacing w:after="120"/>
      </w:pPr>
      <w:r>
        <w:rPr>
          <w:b/>
          <w:bCs/>
        </w:rPr>
        <w:t xml:space="preserve">Special categories of data: </w:t>
      </w:r>
      <w:r>
        <w:t xml:space="preserve">none intended. The Controller shall not upload special-category data (Article 9) unless separately agreed in writing.</w:t>
      </w:r>
    </w:p>
    <w:p>
      <w:pPr>
        <w:spacing w:after="120"/>
      </w:pPr>
      <w:r>
        <w:rPr>
          <w:b/>
          <w:bCs/>
        </w:rPr>
        <w:t xml:space="preserve">Nature and purpose: </w:t>
      </w:r>
      <w:r>
        <w:t xml:space="preserve">creation, generation, curation, storage and delivery of AI-assisted image and video content on behalf of the Controller.</w:t>
      </w:r>
    </w:p>
    <w:p>
      <w:pPr>
        <w:spacing w:after="120"/>
      </w:pPr>
      <w:r>
        <w:rPr>
          <w:b/>
          <w:bCs/>
        </w:rPr>
        <w:t xml:space="preserve">Duration: </w:t>
      </w:r>
      <w:r>
        <w:t xml:space="preserve">the term of the services and the retention periods set out in the Privacy Policy (miravela.ai/legal/privacy).</w:t>
      </w:r>
    </w:p>
    <w:p>
      <w:pPr>
        <w:pStyle w:val="Heading1"/>
        <w:pageBreakBefore/>
      </w:pPr>
      <w:r>
        <w:t xml:space="preserve">Annex 2 — Technical and organisational measures</w:t>
      </w:r>
    </w:p>
    <w:p>
      <w:pPr>
        <w:spacing w:after="120"/>
      </w:pPr>
      <w:r>
        <w:t xml:space="preserve">The Processor maintains, without limitation, the following measures:</w:t>
      </w:r>
    </w:p>
    <w:p>
      <w:pPr>
        <w:pStyle w:val="ListParagraph"/>
        <w:numPr>
          <w:ilvl w:val="0"/>
          <w:numId w:val="2"/>
        </w:numPr>
        <w:spacing w:after="40"/>
      </w:pPr>
      <w:r>
        <w:t xml:space="preserve">Encryption of personal data at rest (AES-256) and in transit (TLS).</w:t>
      </w:r>
    </w:p>
    <w:p>
      <w:pPr>
        <w:pStyle w:val="ListParagraph"/>
        <w:numPr>
          <w:ilvl w:val="0"/>
          <w:numId w:val="2"/>
        </w:numPr>
        <w:spacing w:after="40"/>
      </w:pPr>
      <w:r>
        <w:t xml:space="preserve">Strict logical isolation between clients (database row-level security); private storage served only through short-lived signed URLs.</w:t>
      </w:r>
    </w:p>
    <w:p>
      <w:pPr>
        <w:pStyle w:val="ListParagraph"/>
        <w:numPr>
          <w:ilvl w:val="0"/>
          <w:numId w:val="2"/>
        </w:numPr>
        <w:spacing w:after="40"/>
      </w:pPr>
      <w:r>
        <w:t xml:space="preserve">Access control on a least-privilege basis; multi-factor authentication for administrative access.</w:t>
      </w:r>
    </w:p>
    <w:p>
      <w:pPr>
        <w:pStyle w:val="ListParagraph"/>
        <w:numPr>
          <w:ilvl w:val="0"/>
          <w:numId w:val="2"/>
        </w:numPr>
        <w:spacing w:after="40"/>
      </w:pPr>
      <w:r>
        <w:t xml:space="preserve">Secrets held in a dedicated secrets manager, never in source code.</w:t>
      </w:r>
    </w:p>
    <w:p>
      <w:pPr>
        <w:pStyle w:val="ListParagraph"/>
        <w:numPr>
          <w:ilvl w:val="0"/>
          <w:numId w:val="2"/>
        </w:numPr>
        <w:spacing w:after="40"/>
      </w:pPr>
      <w:r>
        <w:t xml:space="preserve">Audit logging of access and file operations.</w:t>
      </w:r>
    </w:p>
    <w:p>
      <w:pPr>
        <w:pStyle w:val="ListParagraph"/>
        <w:numPr>
          <w:ilvl w:val="0"/>
          <w:numId w:val="2"/>
        </w:numPr>
        <w:spacing w:after="40"/>
      </w:pPr>
      <w:r>
        <w:t xml:space="preserve">Regular backups with tested restoration.</w:t>
      </w:r>
    </w:p>
    <w:p>
      <w:pPr>
        <w:pStyle w:val="ListParagraph"/>
        <w:numPr>
          <w:ilvl w:val="0"/>
          <w:numId w:val="2"/>
        </w:numPr>
        <w:spacing w:after="40"/>
      </w:pPr>
      <w:r>
        <w:t xml:space="preserve">Data hosted within the European Union (Supabase, Paris region).</w:t>
      </w:r>
    </w:p>
    <w:p>
      <w:pPr>
        <w:pStyle w:val="ListParagraph"/>
        <w:numPr>
          <w:ilvl w:val="0"/>
          <w:numId w:val="2"/>
        </w:numPr>
        <w:spacing w:after="40"/>
      </w:pPr>
      <w:r>
        <w:t xml:space="preserve">A human review step before any delivery to the client.</w:t>
      </w:r>
    </w:p>
    <w:p>
      <w:pPr>
        <w:pStyle w:val="ListParagraph"/>
        <w:numPr>
          <w:ilvl w:val="0"/>
          <w:numId w:val="2"/>
        </w:numPr>
        <w:spacing w:after="40"/>
      </w:pPr>
      <w:r>
        <w:t xml:space="preserve">Sub-processors bound by data protection agreements (Annex 3).</w:t>
      </w:r>
    </w:p>
    <w:p>
      <w:pPr>
        <w:pStyle w:val="Heading1"/>
        <w:pageBreakBefore/>
      </w:pPr>
      <w:r>
        <w:t xml:space="preserve">Annex 3 — Approved sub-processors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3200"/>
        <w:gridCol w:w="2360"/>
        <w:gridCol w:w="1900"/>
      </w:tblGrid>
      <w:tr>
        <w:trPr>
          <w:tblHeader/>
        </w:trPr>
        <w:tc>
          <w:tcPr>
            <w:tcW w:type="dxa" w:w="0"/>
            <w:tcBorders>
              <w:top w:val="single" w:color="CCCCCC" w:sz="1"/>
              <w:left w:val="single" w:color="CCCCCC" w:sz="1"/>
              <w:bottom w:val="single" w:color="CCCCCC" w:sz="1"/>
              <w:right w:val="single" w:color="CCCCCC" w:sz="1"/>
            </w:tcBorders>
            <w:shd w:fill="EDEDED" w:val="clear"/>
            <w:tcMar>
              <w:top w:type="dxa" w:w="60"/>
              <w:left w:type="dxa" w:w="100"/>
              <w:bottom w:type="dxa" w:w="60"/>
              <w:right w:type="dxa" w:w="100"/>
            </w:tcMar>
          </w:tcPr>
          <w:p>
            <w:r>
              <w:rPr>
                <w:b/>
                <w:bCs/>
              </w:rPr>
              <w:t xml:space="preserve">Sub-processor</w:t>
            </w:r>
          </w:p>
        </w:tc>
        <w:tc>
          <w:tcPr>
            <w:tcW w:type="dxa" w:w="0"/>
            <w:tcBorders>
              <w:top w:val="single" w:color="CCCCCC" w:sz="1"/>
              <w:left w:val="single" w:color="CCCCCC" w:sz="1"/>
              <w:bottom w:val="single" w:color="CCCCCC" w:sz="1"/>
              <w:right w:val="single" w:color="CCCCCC" w:sz="1"/>
            </w:tcBorders>
            <w:shd w:fill="EDEDED" w:val="clear"/>
            <w:tcMar>
              <w:top w:type="dxa" w:w="60"/>
              <w:left w:type="dxa" w:w="100"/>
              <w:bottom w:type="dxa" w:w="60"/>
              <w:right w:type="dxa" w:w="100"/>
            </w:tcMar>
          </w:tcPr>
          <w:p>
            <w:r>
              <w:rPr>
                <w:b/>
                <w:bCs/>
              </w:rPr>
              <w:t xml:space="preserve">Purpose</w:t>
            </w:r>
          </w:p>
        </w:tc>
        <w:tc>
          <w:tcPr>
            <w:tcW w:type="dxa" w:w="0"/>
            <w:tcBorders>
              <w:top w:val="single" w:color="CCCCCC" w:sz="1"/>
              <w:left w:val="single" w:color="CCCCCC" w:sz="1"/>
              <w:bottom w:val="single" w:color="CCCCCC" w:sz="1"/>
              <w:right w:val="single" w:color="CCCCCC" w:sz="1"/>
            </w:tcBorders>
            <w:shd w:fill="EDEDED" w:val="clear"/>
            <w:tcMar>
              <w:top w:type="dxa" w:w="60"/>
              <w:left w:type="dxa" w:w="100"/>
              <w:bottom w:type="dxa" w:w="60"/>
              <w:right w:type="dxa" w:w="100"/>
            </w:tcMar>
          </w:tcPr>
          <w:p>
            <w:r>
              <w:rPr>
                <w:b/>
                <w:bCs/>
              </w:rPr>
              <w:t xml:space="preserve">Location</w:t>
            </w:r>
          </w:p>
        </w:tc>
        <w:tc>
          <w:tcPr>
            <w:tcW w:type="dxa" w:w="0"/>
            <w:tcBorders>
              <w:top w:val="single" w:color="CCCCCC" w:sz="1"/>
              <w:left w:val="single" w:color="CCCCCC" w:sz="1"/>
              <w:bottom w:val="single" w:color="CCCCCC" w:sz="1"/>
              <w:right w:val="single" w:color="CCCCCC" w:sz="1"/>
            </w:tcBorders>
            <w:shd w:fill="EDEDED" w:val="clear"/>
            <w:tcMar>
              <w:top w:type="dxa" w:w="60"/>
              <w:left w:type="dxa" w:w="100"/>
              <w:bottom w:type="dxa" w:w="60"/>
              <w:right w:type="dxa" w:w="100"/>
            </w:tcMar>
          </w:tcPr>
          <w:p>
            <w:r>
              <w:rPr>
                <w:b/>
                <w:bCs/>
              </w:rPr>
              <w:t xml:space="preserve">Safeguards</w:t>
            </w:r>
          </w:p>
        </w:tc>
      </w:tr>
      <w:tr>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Anthropic</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AI agents — prompt &amp; chat processing</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USA</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DPA + SCC</w:t>
            </w:r>
          </w:p>
        </w:tc>
      </w:tr>
      <w:tr>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OpenRouter</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Image &amp; video generation (AI models)</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USA</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DPA + SCC</w:t>
            </w:r>
          </w:p>
        </w:tc>
      </w:tr>
      <w:tr>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Supabase</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Database, authentication, file storage</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EU (Paris)</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DPA</w:t>
            </w:r>
          </w:p>
        </w:tc>
      </w:tr>
      <w:tr>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Vercel</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Application hosting</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USA</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DPA + SCC</w:t>
            </w:r>
          </w:p>
        </w:tc>
      </w:tr>
      <w:tr>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Google (Drive)</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Mirroring deliverables to client Drive (if enabled)</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USA</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DPA + SCC</w:t>
            </w:r>
          </w:p>
        </w:tc>
      </w:tr>
      <w:tr>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Resend</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Transactional emails (invites, notifications)</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USA</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DPA + SCC</w:t>
            </w:r>
          </w:p>
        </w:tc>
      </w:tr>
    </w:tbl>
    <w:p>
      <w:r>
        <w:t xml:space="preserve"/>
      </w:r>
    </w:p>
    <w:p>
      <w:pPr>
        <w:spacing w:after="120"/>
      </w:pPr>
      <w:r>
        <w:t xml:space="preserve">The current list is published at miravela.ai/legal/subprocessors.</w:t>
      </w:r>
    </w:p>
    <w:p>
      <w:r>
        <w:t xml:space="preserve"/>
      </w:r>
    </w:p>
    <w:p>
      <w:r>
        <w:rPr>
          <w:i/>
          <w:iCs/>
          <w:color w:val="777777"/>
          <w:sz w:val="18"/>
          <w:szCs w:val="18"/>
        </w:rPr>
        <w:t xml:space="preserve">This template is provided for convenience and does not constitute legal advice. Have it reviewed by your legal counsel before signing.</w:t>
      </w:r>
    </w:p>
    <w:p>
      <w:pPr>
        <w:pageBreakBefore/>
      </w:pPr>
      <w:r>
        <w:rPr>
          <w:b/>
          <w:bCs/>
          <w:sz w:val="22"/>
          <w:szCs w:val="22"/>
        </w:rPr>
        <w:t xml:space="preserve">— Version française —</w:t>
      </w:r>
    </w:p>
    <w:p>
      <w:pPr>
        <w:spacing w:after="120"/>
        <w:jc w:val="center"/>
      </w:pPr>
      <w:r>
        <w:rPr>
          <w:b/>
          <w:bCs/>
          <w:sz w:val="30"/>
          <w:szCs w:val="30"/>
        </w:rPr>
        <w:t xml:space="preserve">ACCORD DE TRAITEMENT DES DONNÉES (DPA)</w:t>
      </w:r>
    </w:p>
    <w:p>
      <w:pPr>
        <w:spacing w:after="120"/>
        <w:jc w:val="center"/>
      </w:pPr>
      <w:r>
        <w:rPr>
          <w:b w:val="false"/>
          <w:bCs w:val="false"/>
        </w:rPr>
        <w:t xml:space="preserve">en application de l'article 28 du Règlement général sur la protection des données (RGPD)</w:t>
      </w:r>
    </w:p>
    <w:p>
      <w:r>
        <w:t xml:space="preserve"/>
      </w:r>
    </w:p>
    <w:p>
      <w:pPr>
        <w:spacing w:after="120"/>
      </w:pPr>
      <w:r>
        <w:t xml:space="preserve">Le présent accord de traitement des données (« DPA ») est conclu entre :</w:t>
      </w:r>
    </w:p>
    <w:p>
      <w:pPr>
        <w:spacing w:after="120"/>
      </w:pPr>
      <w:r>
        <w:rPr>
          <w:b/>
          <w:bCs/>
        </w:rPr>
        <w:t xml:space="preserve">Le Responsable de traitement : </w:t>
      </w:r>
      <w:r>
        <w:t xml:space="preserve">________________________________ (« le Responsable », c.-à-d. le client), et</w:t>
      </w:r>
    </w:p>
    <w:p>
      <w:pPr>
        <w:spacing w:after="120"/>
      </w:pPr>
      <w:r>
        <w:rPr>
          <w:b/>
          <w:bCs/>
        </w:rPr>
        <w:t xml:space="preserve">Le Sous-traitant : </w:t>
      </w:r>
      <w:r>
        <w:t xml:space="preserve">ECD – Estée Creative Direction, exploité sous le nom Miravela AI, 14 rue du Mail, 75002 Paris, France, SIREN 951 471 689 (« le Sous-traitant »).</w:t>
      </w:r>
    </w:p>
    <w:p>
      <w:pPr>
        <w:spacing w:after="120"/>
      </w:pPr>
      <w:r>
        <w:t xml:space="preserve">Ce DPA fait partie intégrante du contrat de services entre les parties (le « Contrat principal »). En cas de contradiction sur la protection des données, le présent DPA prévaut.</w:t>
      </w:r>
    </w:p>
    <w:p>
      <w:pPr>
        <w:pStyle w:val="Heading2"/>
      </w:pPr>
      <w:r>
        <w:t xml:space="preserve">1. Définitions</w:t>
      </w:r>
    </w:p>
    <w:p>
      <w:pPr>
        <w:spacing w:after="120"/>
      </w:pPr>
      <w:r>
        <w:t xml:space="preserve">« RGPD », « données à caractère personnel », « traitement », « responsable du traitement », « sous-traitant », « sous-traitant ultérieur », « personne concernée » et « violation de données » ont le sens défini par le RGPD. Le Responsable détermine les finalités et les moyens ; le Sous-traitant traite les données pour le compte du Responsable.</w:t>
      </w:r>
    </w:p>
    <w:p>
      <w:pPr>
        <w:pStyle w:val="Heading2"/>
      </w:pPr>
      <w:r>
        <w:t xml:space="preserve">2. Objet, durée, nature et finalité</w:t>
      </w:r>
    </w:p>
    <w:p>
      <w:pPr>
        <w:spacing w:after="120"/>
      </w:pPr>
      <w:r>
        <w:t xml:space="preserve">L'objet, la durée, la nature et la finalité du traitement, les types de données et les catégories de personnes concernées figurent à l'Annexe 1.</w:t>
      </w:r>
    </w:p>
    <w:p>
      <w:pPr>
        <w:pStyle w:val="Heading2"/>
      </w:pPr>
      <w:r>
        <w:t xml:space="preserve">3. Obligations du Sous-traitant</w:t>
      </w:r>
    </w:p>
    <w:p>
      <w:pPr>
        <w:spacing w:after="120"/>
      </w:pPr>
      <w:r>
        <w:t xml:space="preserve">3.1 Ne traiter les données que sur instruction documentée du Responsable, y compris pour les transferts, sauf obligation légale de l'UE ou d'un État membre (auquel cas il en informe le Responsable, sauf interdiction légale).</w:t>
      </w:r>
    </w:p>
    <w:p>
      <w:pPr>
        <w:spacing w:after="120"/>
      </w:pPr>
      <w:r>
        <w:t xml:space="preserve">3.2 Veiller à ce que les personnes autorisées à traiter les données soient soumises à une obligation de confidentialité appropriée.</w:t>
      </w:r>
    </w:p>
    <w:p>
      <w:pPr>
        <w:spacing w:after="120"/>
      </w:pPr>
      <w:r>
        <w:t xml:space="preserve">3.3 Mettre en œuvre les mesures techniques et organisationnelles de l'Annexe 2 pour garantir un niveau de sécurité adapté au risque (article 32).</w:t>
      </w:r>
    </w:p>
    <w:p>
      <w:pPr>
        <w:spacing w:after="120"/>
      </w:pPr>
      <w:r>
        <w:t xml:space="preserve">3.4 Sous-traitants ultérieurs : le Responsable autorise de façon générale et écrite le recours aux sous-traitants listés à l'Annexe 3. Le Sous-traitant informe le Responsable de tout ajout ou remplacement avec un préavis d'au moins trente (30) jours, lui permettant de s'y opposer. Chaque sous-traitant ultérieur est lié par des obligations équivalentes.</w:t>
      </w:r>
    </w:p>
    <w:p>
      <w:pPr>
        <w:spacing w:after="120"/>
      </w:pPr>
      <w:r>
        <w:t xml:space="preserve">3.5 Compte tenu de la nature du traitement, aider le Responsable par des mesures appropriées à répondre aux demandes d'exercice des droits des personnes.</w:t>
      </w:r>
    </w:p>
    <w:p>
      <w:pPr>
        <w:spacing w:after="120"/>
      </w:pPr>
      <w:r>
        <w:t xml:space="preserve">3.6 Aider le Responsable à assurer le respect des obligations de sécurité (article 32), de notification des violations (articles 33-34) et d'analyses d'impact (articles 35-36).</w:t>
      </w:r>
    </w:p>
    <w:p>
      <w:pPr>
        <w:spacing w:after="120"/>
      </w:pPr>
      <w:r>
        <w:t xml:space="preserve">3.7 Notifier au Responsable, sans délai injustifié et au plus tard dans les quarante-huit (48) heures après en avoir pris connaissance, toute violation de données, avec les informations de l'article 33(3).</w:t>
      </w:r>
    </w:p>
    <w:p>
      <w:pPr>
        <w:spacing w:after="120"/>
      </w:pPr>
      <w:r>
        <w:t xml:space="preserve">3.8 Au choix du Responsable, supprimer ou renvoyer toutes les données à la fin des services, et supprimer les copies existantes, sauf obligation légale de conservation.</w:t>
      </w:r>
    </w:p>
    <w:p>
      <w:pPr>
        <w:spacing w:after="120"/>
      </w:pPr>
      <w:r>
        <w:t xml:space="preserve">3.9 Mettre à la disposition du Responsable toutes les informations nécessaires pour démontrer le respect de l'article 28 et permettre des audits (sur préavis raisonnable, au plus une fois par an sauf violation).</w:t>
      </w:r>
    </w:p>
    <w:p>
      <w:pPr>
        <w:pStyle w:val="Heading2"/>
      </w:pPr>
      <w:r>
        <w:t xml:space="preserve">4. Transferts internationaux</w:t>
      </w:r>
    </w:p>
    <w:p>
      <w:pPr>
        <w:spacing w:after="120"/>
      </w:pPr>
      <w:r>
        <w:t xml:space="preserve">Lorsqu'un sous-traitant ultérieur est situé hors de l'Espace économique européen, les transferts sont encadrés par les Clauses Contractuelles Types (SCC) de la Commission européenne ou une autre garantie du chapitre V du RGPD. Les données du Responsable sont hébergées dans l'Union européenne (région Paris).</w:t>
      </w:r>
    </w:p>
    <w:p>
      <w:pPr>
        <w:pStyle w:val="Heading2"/>
      </w:pPr>
      <w:r>
        <w:t xml:space="preserve">5. Responsabilité et droit applicable</w:t>
      </w:r>
    </w:p>
    <w:p>
      <w:pPr>
        <w:spacing w:after="120"/>
      </w:pPr>
      <w:r>
        <w:t xml:space="preserve">La responsabilité est régie par le Contrat principal. Le présent DPA est soumis au droit français ; les tribunaux de Paris sont compétents, sous réserve des dispositions impératives du RGPD.</w:t>
      </w:r>
    </w:p>
    <w:p>
      <w:pPr>
        <w:pStyle w:val="Heading2"/>
      </w:pPr>
      <w:r>
        <w:t xml:space="preserve">6. Durée</w:t>
      </w:r>
    </w:p>
    <w:p>
      <w:pPr>
        <w:spacing w:after="120"/>
      </w:pPr>
      <w:r>
        <w:t xml:space="preserve">Le présent DPA prend effet à la date de dernière signature et reste en vigueur tant que le Sous-traitant traite des données pour le compte du Responsable.</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tcMar>
              <w:top w:type="dxa" w:w="200"/>
              <w:left w:type="dxa" w:w="120"/>
              <w:bottom w:type="dxa" w:w="200"/>
              <w:right w:type="dxa" w:w="120"/>
            </w:tcMar>
          </w:tcPr>
          <w:p>
            <w:r>
              <w:rPr>
                <w:b/>
                <w:bCs/>
              </w:rPr>
              <w:t xml:space="preserve">Pour le Responsable de traitement</w:t>
            </w:r>
          </w:p>
          <w:p>
            <w:r>
              <w:t xml:space="preserve"/>
            </w:r>
          </w:p>
          <w:p>
            <w:pPr>
              <w:spacing w:after="120"/>
            </w:pPr>
            <w:r>
              <w:t xml:space="preserve">Nom : ____________________</w:t>
            </w:r>
          </w:p>
          <w:p>
            <w:pPr>
              <w:spacing w:after="120"/>
            </w:pPr>
            <w:r>
              <w:t xml:space="preserve">Fonction : ____________________</w:t>
            </w:r>
          </w:p>
          <w:p>
            <w:pPr>
              <w:spacing w:after="120"/>
            </w:pPr>
            <w:r>
              <w:t xml:space="preserve">Date : ____________________</w:t>
            </w:r>
          </w:p>
          <w:p>
            <w:pPr>
              <w:spacing w:after="120"/>
            </w:pPr>
            <w:r>
              <w:t xml:space="preserve">Signature :</w:t>
            </w:r>
          </w:p>
        </w:tc>
        <w:tc>
          <w:tcPr>
            <w:tcW w:type="dxa" w:w="4680"/>
            <w:tcBorders>
              <w:top w:val="single" w:color="CCCCCC" w:sz="1"/>
              <w:left w:val="single" w:color="CCCCCC" w:sz="1"/>
              <w:bottom w:val="single" w:color="CCCCCC" w:sz="1"/>
              <w:right w:val="single" w:color="CCCCCC" w:sz="1"/>
            </w:tcBorders>
            <w:tcMar>
              <w:top w:type="dxa" w:w="200"/>
              <w:left w:type="dxa" w:w="120"/>
              <w:bottom w:type="dxa" w:w="200"/>
              <w:right w:type="dxa" w:w="120"/>
            </w:tcMar>
          </w:tcPr>
          <w:p>
            <w:r>
              <w:rPr>
                <w:b/>
                <w:bCs/>
              </w:rPr>
              <w:t xml:space="preserve">Pour le Sous-traitant (Miravela AI)</w:t>
            </w:r>
          </w:p>
          <w:p>
            <w:r>
              <w:t xml:space="preserve"/>
            </w:r>
          </w:p>
          <w:p>
            <w:pPr>
              <w:spacing w:after="120"/>
            </w:pPr>
            <w:r>
              <w:t xml:space="preserve">Nom : Estée Jaillon</w:t>
            </w:r>
          </w:p>
          <w:p>
            <w:pPr>
              <w:spacing w:after="120"/>
            </w:pPr>
            <w:r>
              <w:t xml:space="preserve">Fonction : Présidente &amp; opératrice</w:t>
            </w:r>
          </w:p>
          <w:p>
            <w:pPr>
              <w:spacing w:after="120"/>
            </w:pPr>
            <w:r>
              <w:t xml:space="preserve">Date : ____________________</w:t>
            </w:r>
          </w:p>
          <w:p>
            <w:pPr>
              <w:spacing w:after="120"/>
            </w:pPr>
            <w:r>
              <w:t xml:space="preserve">Signature :</w:t>
            </w:r>
          </w:p>
        </w:tc>
      </w:tr>
    </w:tbl>
    <w:p>
      <w:pPr>
        <w:pStyle w:val="Heading1"/>
        <w:pageBreakBefore/>
      </w:pPr>
      <w:r>
        <w:t xml:space="preserve">Annexe 1 — Détails du traitement</w:t>
      </w:r>
    </w:p>
    <w:p>
      <w:pPr>
        <w:spacing w:after="120"/>
      </w:pPr>
      <w:r>
        <w:rPr>
          <w:b/>
          <w:bCs/>
        </w:rPr>
        <w:t xml:space="preserve">Catégories de personnes concernées : </w:t>
      </w:r>
      <w:r>
        <w:t xml:space="preserve">personnes figurant dans les références ou les contenus fournis / commandés par le Responsable (mannequins, talents…) ; le personnel et les utilisateurs autorisés du Responsable.</w:t>
      </w:r>
    </w:p>
    <w:p>
      <w:pPr>
        <w:spacing w:after="120"/>
      </w:pPr>
      <w:r>
        <w:rPr>
          <w:b/>
          <w:bCs/>
        </w:rPr>
        <w:t xml:space="preserve">Catégories de données : </w:t>
      </w:r>
      <w:r>
        <w:t xml:space="preserve">photographies et images (pouvant inclure visages, apparence, caractéristiques physiques) ; noms et coordonnées professionnelles ; briefs et instructions ; commentaires et validations ; identifiants de compte et journaux d'utilisation.</w:t>
      </w:r>
    </w:p>
    <w:p>
      <w:pPr>
        <w:spacing w:after="120"/>
      </w:pPr>
      <w:r>
        <w:rPr>
          <w:b/>
          <w:bCs/>
        </w:rPr>
        <w:t xml:space="preserve">Catégories particulières : </w:t>
      </w:r>
      <w:r>
        <w:t xml:space="preserve">aucune prévue. Le Responsable ne doit pas téléverser de données sensibles (article 9) sans accord écrit distinct.</w:t>
      </w:r>
    </w:p>
    <w:p>
      <w:pPr>
        <w:spacing w:after="120"/>
      </w:pPr>
      <w:r>
        <w:rPr>
          <w:b/>
          <w:bCs/>
        </w:rPr>
        <w:t xml:space="preserve">Nature et finalité : </w:t>
      </w:r>
      <w:r>
        <w:t xml:space="preserve">création, génération, curation, stockage et livraison de contenus image et vidéo assistés par IA pour le compte du Responsable.</w:t>
      </w:r>
    </w:p>
    <w:p>
      <w:pPr>
        <w:spacing w:after="120"/>
      </w:pPr>
      <w:r>
        <w:rPr>
          <w:b/>
          <w:bCs/>
        </w:rPr>
        <w:t xml:space="preserve">Durée : </w:t>
      </w:r>
      <w:r>
        <w:t xml:space="preserve">la durée des services et les durées de conservation de la Politique de confidentialité (miravela.ai/legal/privacy).</w:t>
      </w:r>
    </w:p>
    <w:p>
      <w:pPr>
        <w:pStyle w:val="Heading1"/>
        <w:pageBreakBefore/>
      </w:pPr>
      <w:r>
        <w:t xml:space="preserve">Annexe 2 — Mesures techniques et organisationnelles</w:t>
      </w:r>
    </w:p>
    <w:p>
      <w:pPr>
        <w:spacing w:after="120"/>
      </w:pPr>
      <w:r>
        <w:t xml:space="preserve">Le Sous-traitant maintient, notamment, les mesures suivantes :</w:t>
      </w:r>
    </w:p>
    <w:p>
      <w:pPr>
        <w:pStyle w:val="ListParagraph"/>
        <w:numPr>
          <w:ilvl w:val="0"/>
          <w:numId w:val="2"/>
        </w:numPr>
        <w:spacing w:after="40"/>
      </w:pPr>
      <w:r>
        <w:t xml:space="preserve">Chiffrement des données au repos (AES-256) et en transit (TLS).</w:t>
      </w:r>
    </w:p>
    <w:p>
      <w:pPr>
        <w:pStyle w:val="ListParagraph"/>
        <w:numPr>
          <w:ilvl w:val="0"/>
          <w:numId w:val="2"/>
        </w:numPr>
        <w:spacing w:after="40"/>
      </w:pPr>
      <w:r>
        <w:t xml:space="preserve">Isolation logique stricte entre clients (row-level security) ; stockage privé servi uniquement via des URL signées à courte durée.</w:t>
      </w:r>
    </w:p>
    <w:p>
      <w:pPr>
        <w:pStyle w:val="ListParagraph"/>
        <w:numPr>
          <w:ilvl w:val="0"/>
          <w:numId w:val="2"/>
        </w:numPr>
        <w:spacing w:after="40"/>
      </w:pPr>
      <w:r>
        <w:t xml:space="preserve">Contrôle d'accès au moindre privilège ; authentification multi-facteurs pour les accès administrateur.</w:t>
      </w:r>
    </w:p>
    <w:p>
      <w:pPr>
        <w:pStyle w:val="ListParagraph"/>
        <w:numPr>
          <w:ilvl w:val="0"/>
          <w:numId w:val="2"/>
        </w:numPr>
        <w:spacing w:after="40"/>
      </w:pPr>
      <w:r>
        <w:t xml:space="preserve">Secrets conservés dans un gestionnaire dédié, jamais dans le code.</w:t>
      </w:r>
    </w:p>
    <w:p>
      <w:pPr>
        <w:pStyle w:val="ListParagraph"/>
        <w:numPr>
          <w:ilvl w:val="0"/>
          <w:numId w:val="2"/>
        </w:numPr>
        <w:spacing w:after="40"/>
      </w:pPr>
      <w:r>
        <w:t xml:space="preserve">Journalisation des accès et des opérations sur les fichiers.</w:t>
      </w:r>
    </w:p>
    <w:p>
      <w:pPr>
        <w:pStyle w:val="ListParagraph"/>
        <w:numPr>
          <w:ilvl w:val="0"/>
          <w:numId w:val="2"/>
        </w:numPr>
        <w:spacing w:after="40"/>
      </w:pPr>
      <w:r>
        <w:t xml:space="preserve">Sauvegardes régulières avec restauration testée.</w:t>
      </w:r>
    </w:p>
    <w:p>
      <w:pPr>
        <w:pStyle w:val="ListParagraph"/>
        <w:numPr>
          <w:ilvl w:val="0"/>
          <w:numId w:val="2"/>
        </w:numPr>
        <w:spacing w:after="40"/>
      </w:pPr>
      <w:r>
        <w:t xml:space="preserve">Données hébergées dans l'Union européenne (Supabase, région Paris).</w:t>
      </w:r>
    </w:p>
    <w:p>
      <w:pPr>
        <w:pStyle w:val="ListParagraph"/>
        <w:numPr>
          <w:ilvl w:val="0"/>
          <w:numId w:val="2"/>
        </w:numPr>
        <w:spacing w:after="40"/>
      </w:pPr>
      <w:r>
        <w:t xml:space="preserve">Étape de revue humaine avant toute livraison au client.</w:t>
      </w:r>
    </w:p>
    <w:p>
      <w:pPr>
        <w:pStyle w:val="ListParagraph"/>
        <w:numPr>
          <w:ilvl w:val="0"/>
          <w:numId w:val="2"/>
        </w:numPr>
        <w:spacing w:after="40"/>
      </w:pPr>
      <w:r>
        <w:t xml:space="preserve">Sous-traitants ultérieurs liés par des accords de traitement (Annexe 3).</w:t>
      </w:r>
    </w:p>
    <w:p>
      <w:pPr>
        <w:pStyle w:val="Heading1"/>
        <w:pageBreakBefore/>
      </w:pPr>
      <w:r>
        <w:t xml:space="preserve">Annexe 3 — Sous-traitants ultérieurs approuvés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3200"/>
        <w:gridCol w:w="2360"/>
        <w:gridCol w:w="1900"/>
      </w:tblGrid>
      <w:tr>
        <w:trPr>
          <w:tblHeader/>
        </w:trPr>
        <w:tc>
          <w:tcPr>
            <w:tcW w:type="dxa" w:w="0"/>
            <w:tcBorders>
              <w:top w:val="single" w:color="CCCCCC" w:sz="1"/>
              <w:left w:val="single" w:color="CCCCCC" w:sz="1"/>
              <w:bottom w:val="single" w:color="CCCCCC" w:sz="1"/>
              <w:right w:val="single" w:color="CCCCCC" w:sz="1"/>
            </w:tcBorders>
            <w:shd w:fill="EDEDED" w:val="clear"/>
            <w:tcMar>
              <w:top w:type="dxa" w:w="60"/>
              <w:left w:type="dxa" w:w="100"/>
              <w:bottom w:type="dxa" w:w="60"/>
              <w:right w:type="dxa" w:w="100"/>
            </w:tcMar>
          </w:tcPr>
          <w:p>
            <w:r>
              <w:rPr>
                <w:b/>
                <w:bCs/>
              </w:rPr>
              <w:t xml:space="preserve">Sous-traitant</w:t>
            </w:r>
          </w:p>
        </w:tc>
        <w:tc>
          <w:tcPr>
            <w:tcW w:type="dxa" w:w="0"/>
            <w:tcBorders>
              <w:top w:val="single" w:color="CCCCCC" w:sz="1"/>
              <w:left w:val="single" w:color="CCCCCC" w:sz="1"/>
              <w:bottom w:val="single" w:color="CCCCCC" w:sz="1"/>
              <w:right w:val="single" w:color="CCCCCC" w:sz="1"/>
            </w:tcBorders>
            <w:shd w:fill="EDEDED" w:val="clear"/>
            <w:tcMar>
              <w:top w:type="dxa" w:w="60"/>
              <w:left w:type="dxa" w:w="100"/>
              <w:bottom w:type="dxa" w:w="60"/>
              <w:right w:type="dxa" w:w="100"/>
            </w:tcMar>
          </w:tcPr>
          <w:p>
            <w:r>
              <w:rPr>
                <w:b/>
                <w:bCs/>
              </w:rPr>
              <w:t xml:space="preserve">Finalité</w:t>
            </w:r>
          </w:p>
        </w:tc>
        <w:tc>
          <w:tcPr>
            <w:tcW w:type="dxa" w:w="0"/>
            <w:tcBorders>
              <w:top w:val="single" w:color="CCCCCC" w:sz="1"/>
              <w:left w:val="single" w:color="CCCCCC" w:sz="1"/>
              <w:bottom w:val="single" w:color="CCCCCC" w:sz="1"/>
              <w:right w:val="single" w:color="CCCCCC" w:sz="1"/>
            </w:tcBorders>
            <w:shd w:fill="EDEDED" w:val="clear"/>
            <w:tcMar>
              <w:top w:type="dxa" w:w="60"/>
              <w:left w:type="dxa" w:w="100"/>
              <w:bottom w:type="dxa" w:w="60"/>
              <w:right w:type="dxa" w:w="100"/>
            </w:tcMar>
          </w:tcPr>
          <w:p>
            <w:r>
              <w:rPr>
                <w:b/>
                <w:bCs/>
              </w:rPr>
              <w:t xml:space="preserve">Localisation</w:t>
            </w:r>
          </w:p>
        </w:tc>
        <w:tc>
          <w:tcPr>
            <w:tcW w:type="dxa" w:w="0"/>
            <w:tcBorders>
              <w:top w:val="single" w:color="CCCCCC" w:sz="1"/>
              <w:left w:val="single" w:color="CCCCCC" w:sz="1"/>
              <w:bottom w:val="single" w:color="CCCCCC" w:sz="1"/>
              <w:right w:val="single" w:color="CCCCCC" w:sz="1"/>
            </w:tcBorders>
            <w:shd w:fill="EDEDED" w:val="clear"/>
            <w:tcMar>
              <w:top w:type="dxa" w:w="60"/>
              <w:left w:type="dxa" w:w="100"/>
              <w:bottom w:type="dxa" w:w="60"/>
              <w:right w:type="dxa" w:w="100"/>
            </w:tcMar>
          </w:tcPr>
          <w:p>
            <w:r>
              <w:rPr>
                <w:b/>
                <w:bCs/>
              </w:rPr>
              <w:t xml:space="preserve">Garanties</w:t>
            </w:r>
          </w:p>
        </w:tc>
      </w:tr>
      <w:tr>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Anthropic</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Agents IA — traitement des prompts et du chat</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États-Unis</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DPA + SCC</w:t>
            </w:r>
          </w:p>
        </w:tc>
      </w:tr>
      <w:tr>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OpenRouter</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Génération d'images et de vidéos (modèles IA)</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États-Unis</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DPA + SCC</w:t>
            </w:r>
          </w:p>
        </w:tc>
      </w:tr>
      <w:tr>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Supabase</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Base de données, authentification, stockage</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UE (Paris)</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DPA</w:t>
            </w:r>
          </w:p>
        </w:tc>
      </w:tr>
      <w:tr>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Vercel</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Hébergement de l'application</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États-Unis</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DPA + SCC</w:t>
            </w:r>
          </w:p>
        </w:tc>
      </w:tr>
      <w:tr>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Google (Drive)</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Miroir des livrables vers le Drive du client (si activé)</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États-Unis</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DPA + SCC</w:t>
            </w:r>
          </w:p>
        </w:tc>
      </w:tr>
      <w:tr>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Resend</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Emails transactionnels (invitations, notifications)</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États-Unis</w:t>
            </w:r>
          </w:p>
        </w:tc>
        <w:tc>
          <w:tcPr>
            <w:tcW w:type="dxa" w:w="0"/>
            <w:tcBorders>
              <w:top w:val="single" w:color="CCCCCC" w:sz="1"/>
              <w:left w:val="single" w:color="CCCCCC" w:sz="1"/>
              <w:bottom w:val="single" w:color="CCCCCC" w:sz="1"/>
              <w:right w:val="single" w:color="CCCCCC" w:sz="1"/>
            </w:tcBorders>
            <w:tcMar>
              <w:top w:type="dxa" w:w="60"/>
              <w:left w:type="dxa" w:w="100"/>
              <w:bottom w:type="dxa" w:w="60"/>
              <w:right w:type="dxa" w:w="100"/>
            </w:tcMar>
          </w:tcPr>
          <w:p>
            <w:r>
              <w:t xml:space="preserve">DPA + SCC</w:t>
            </w:r>
          </w:p>
        </w:tc>
      </w:tr>
    </w:tbl>
    <w:p>
      <w:r>
        <w:t xml:space="preserve"/>
      </w:r>
    </w:p>
    <w:p>
      <w:pPr>
        <w:spacing w:after="120"/>
      </w:pPr>
      <w:r>
        <w:t xml:space="preserve">La liste à jour est publiée sur miravela.ai/legal/subprocessors.</w:t>
      </w:r>
    </w:p>
    <w:p>
      <w:r>
        <w:t xml:space="preserve"/>
      </w:r>
    </w:p>
    <w:p>
      <w:r>
        <w:rPr>
          <w:i/>
          <w:iCs/>
          <w:color w:val="777777"/>
          <w:sz w:val="18"/>
          <w:szCs w:val="18"/>
        </w:rPr>
        <w:t xml:space="preserve">Ce modèle est fourni à titre de commodité et ne constitue pas un avis juridique. Faites-le relire par votre conseil avant signature.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6"/>
        <w:szCs w:val="16"/>
      </w:rPr>
      <w:t xml:space="preserve">Miravela AI — Data Processing Agreement · </w:t>
    </w:r>
    <w:r>
      <w:rPr>
        <w:color w:val="999999"/>
        <w:sz w:val="16"/>
        <w:szCs w:val="16"/>
      </w:rPr>
      <w:t xml:space="preserve">Page </w:t>
    </w:r>
    <w:r>
      <w:rPr>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sz w:val="26"/>
      <w:szCs w:val="26"/>
    </w:rPr>
  </w:style>
  <w:style w:type="paragraph" w:styleId="Heading2">
    <w:name w:val="Heading 2"/>
    <w:basedOn w:val="Normal"/>
    <w:next w:val="Normal"/>
    <w:qFormat/>
    <w:pPr>
      <w:spacing w:after="100" w:before="200"/>
      <w:outlineLvl w:val="1"/>
    </w:pPr>
    <w:rPr>
      <w:rFonts w:ascii="Arial" w:cs="Arial" w:eastAsia="Arial" w:hAnsi="Arial"/>
      <w:b/>
      <w:bCs/>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2026-07-10T02:40:47.146Z</dcterms:created>
  <dcterms:modified xsi:type="dcterms:W3CDTF">2026-07-10T02:40:47.146Z</dcterms:modified>
</cp:coreProperties>
</file>

<file path=docProps/custom.xml><?xml version="1.0" encoding="utf-8"?>
<Properties xmlns="http://schemas.openxmlformats.org/officeDocument/2006/custom-properties" xmlns:vt="http://schemas.openxmlformats.org/officeDocument/2006/docPropsVTypes"/>
</file>